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17"/>
        </w:rPr>
        <w:t>PENNSYLVANIA · STATE-AWARE GUIDE</w:t>
      </w:r>
    </w:p>
    <w:p>
      <w:pPr>
        <w:pStyle w:val="Title"/>
        <w:jc w:val="left"/>
      </w:pPr>
      <w:r>
        <w:t>How to complete a Statement of Shareholders' Equity in Pennsylvania</w:t>
      </w:r>
    </w:p>
    <w:p>
      <w:r>
        <w:rPr>
          <w:color w:val="475569"/>
          <w:sz w:val="20"/>
        </w:rPr>
        <w:t>Roll-forward of shareholders' equity by component (common stock, APIC, retained earnings, treasury, AOCI) with beginning/ending balances.</w:t>
      </w:r>
    </w:p>
    <w:p/>
    <w:p>
      <w:pPr>
        <w:pStyle w:val="Heading1"/>
      </w:pPr>
      <w:r>
        <w:rPr>
          <w:color w:val="0F172A"/>
        </w:rPr>
        <w:t>What this form is for</w:t>
      </w:r>
    </w:p>
    <w:p>
      <w:r>
        <w:rPr>
          <w:sz w:val="22"/>
        </w:rPr>
        <w:t>This form shows how your corporation's ownership accounts changed during a specific period, typically a fiscal year. Lenders require it to verify your capital structure, track profit retention, dividend distributions, and confirm no undisclosed transactions eroded shareholder equity.</w:t>
      </w:r>
    </w:p>
    <w:p>
      <w:pPr>
        <w:pStyle w:val="Heading1"/>
      </w:pPr>
      <w:r>
        <w:rPr>
          <w:color w:val="0F172A"/>
        </w:rPr>
        <w:t>Before you start</w:t>
      </w:r>
    </w:p>
    <w:p>
      <w:r>
        <w:rPr>
          <w:sz w:val="22"/>
        </w:rPr>
        <w:t>- Prior-year balance sheet showing ending balances for common stock, additional paid-in capital, retained earnings, treasury stock, and accumulated other comprehensive income</w:t>
      </w:r>
    </w:p>
    <w:p>
      <w:r>
        <w:rPr>
          <w:sz w:val="22"/>
        </w:rPr>
        <w:t>- Current-year net income or loss from your profit and loss statement</w:t>
      </w:r>
    </w:p>
    <w:p>
      <w:r>
        <w:rPr>
          <w:sz w:val="22"/>
        </w:rPr>
        <w:t>- Records of any stock issuances, repurchases, or retirements during the period with dates and amounts</w:t>
      </w:r>
    </w:p>
    <w:p>
      <w:r>
        <w:rPr>
          <w:sz w:val="22"/>
        </w:rPr>
        <w:t>- Documentation of dividends declared or paid, including board resolutions if applicable</w:t>
      </w:r>
    </w:p>
    <w:p>
      <w:r>
        <w:rPr>
          <w:sz w:val="22"/>
        </w:rPr>
        <w:t>- Any other comprehensive income items such as unrealized gains or losses on investments or foreign currency translation adjustments</w:t>
      </w:r>
    </w:p>
    <w:p>
      <w:pPr>
        <w:pStyle w:val="Heading1"/>
      </w:pPr>
      <w:r>
        <w:rPr>
          <w:color w:val="0F172A"/>
        </w:rPr>
        <w:t>Step-by-step</w:t>
      </w:r>
    </w:p>
    <w:p>
      <w:r>
        <w:rPr>
          <w:sz w:val="22"/>
        </w:rPr>
        <w:t>1. Enter the beginning balance for each equity component as of the start of your reporting period. These must match your prior-year ending balances exactly. If this is your first year, beginning balances will be zero except for initial capital contributions.</w:t>
      </w:r>
    </w:p>
    <w:p>
      <w:r>
        <w:rPr>
          <w:sz w:val="22"/>
        </w:rPr>
        <w:t>2. Record new stock issuances in the common stock column at par value. Enter any premium over par value in the additional paid-in capital column. Pennsylvania corporations must comply with stated capital requirements under Title 15 Pa.C.S., so verify par value treatment with your incorporation documents.</w:t>
      </w:r>
    </w:p>
    <w:p>
      <w:r>
        <w:rPr>
          <w:sz w:val="22"/>
        </w:rPr>
        <w:t>3. Add current-period net income to retained earnings. If you had a net loss, enter it as a negative number or in parentheses to subtract from retained earnings.</w:t>
      </w:r>
    </w:p>
    <w:p>
      <w:r>
        <w:rPr>
          <w:sz w:val="22"/>
        </w:rPr>
        <w:t>4. Subtract any dividends declared or paid during the period from retained earnings. List cash dividends and stock dividends separately if both occurred.</w:t>
      </w:r>
    </w:p>
    <w:p>
      <w:r>
        <w:rPr>
          <w:sz w:val="22"/>
        </w:rPr>
        <w:t>5. If you repurchased company shares, record the cost in the treasury stock column as a negative number. Treasury stock reduces total equity.</w:t>
      </w:r>
    </w:p>
    <w:p>
      <w:r>
        <w:rPr>
          <w:sz w:val="22"/>
        </w:rPr>
        <w:t>6. Enter any changes to accumulated other comprehensive income, such as unrealized investment gains or pension adjustment items. Most small businesses will leave this column blank.</w:t>
      </w:r>
    </w:p>
    <w:p>
      <w:r>
        <w:rPr>
          <w:sz w:val="22"/>
        </w:rPr>
        <w:t>7. Calculate the ending balance for each column by adding or subtracting all transactions from the beginning balance. Double-check your arithmetic on each column.</w:t>
      </w:r>
    </w:p>
    <w:p>
      <w:r>
        <w:rPr>
          <w:sz w:val="22"/>
        </w:rPr>
        <w:t>8. Total the ending balances across all columns to arrive at total shareholders' equity. This figure must match the equity section of your balance sheet for the same date.</w:t>
      </w:r>
    </w:p>
    <w:p>
      <w:pPr>
        <w:pStyle w:val="Heading1"/>
      </w:pPr>
      <w:r>
        <w:rPr>
          <w:color w:val="0F172A"/>
        </w:rPr>
        <w:t>What lenders look for</w:t>
      </w:r>
    </w:p>
    <w:p>
      <w:r>
        <w:rPr>
          <w:sz w:val="22"/>
        </w:rPr>
        <w:t>- Banks scrutinize retained earnings trends because consistent losses or heavy dividend withdrawals signal cash-flow risk and weak reinvestment. Negative retained earnings are a red flag requiring explanation.</w:t>
      </w:r>
    </w:p>
    <w:p>
      <w:r>
        <w:rPr>
          <w:sz w:val="22"/>
        </w:rPr>
        <w:t>- Treasury stock reduces borrowing capacity since it represents capital returned to owners. Large repurchases without corresponding profit growth suggest the business is shrinking or owners lack confidence.</w:t>
      </w:r>
    </w:p>
    <w:p>
      <w:r>
        <w:rPr>
          <w:sz w:val="22"/>
        </w:rPr>
        <w:t>- Reconcile this statement to your balance sheet and tax return Schedule L before submission. Mismatches trigger immediate questions and delay credit decisions.</w:t>
      </w:r>
    </w:p>
    <w:p/>
    <w:p>
      <w:pPr>
        <w:jc w:val="center"/>
      </w:pPr>
      <w:r>
        <w:rPr>
          <w:color w:val="94A3B8"/>
          <w:sz w:val="16"/>
        </w:rPr>
        <w:t>Generated June 19, 2026 · FormStack Legal · AI-drafted guidance, not legal advice — consult a licensed attorney for filings.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