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TEXAS · STATE-AWARE GUIDE</w:t>
      </w:r>
    </w:p>
    <w:p>
      <w:pPr>
        <w:pStyle w:val="Title"/>
        <w:jc w:val="left"/>
      </w:pPr>
      <w:r>
        <w:t>How to complete a Month-to-Month Lease in Texas</w:t>
      </w:r>
    </w:p>
    <w:p>
      <w:r>
        <w:rPr>
          <w:color w:val="475569"/>
          <w:sz w:val="20"/>
        </w:rPr>
        <w:t>Open-ended residential lease with notice-to-vacate clause and recurring monthly rent.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Landlords and property managers use this form to lease residential property on a rolling monthly basis without a fixed end date, allowing either party to terminate with proper notice. It is common for short-term tenants, trial rental periods, or situations requiring flexible exit options.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Complete property address including unit number if applicable</w:t>
      </w:r>
    </w:p>
    <w:p>
      <w:r>
        <w:rPr>
          <w:sz w:val="22"/>
        </w:rPr>
        <w:t>- Monthly rent amount and due date you have agreed upon with the tenant</w:t>
      </w:r>
    </w:p>
    <w:p>
      <w:r>
        <w:rPr>
          <w:sz w:val="22"/>
        </w:rPr>
        <w:t>- Security deposit amount and terms for refund or deductions</w:t>
      </w:r>
    </w:p>
    <w:p>
      <w:r>
        <w:rPr>
          <w:sz w:val="22"/>
        </w:rPr>
        <w:t>- Number of days notice required for either party to terminate (Texas law requires written notice but does not mandate a minimum period unless specified in the lease)</w:t>
      </w:r>
    </w:p>
    <w:p>
      <w:r>
        <w:rPr>
          <w:sz w:val="22"/>
        </w:rPr>
        <w:t>- Tenant names, phone numbers, and current mailing addresses for all adult occupants</w:t>
      </w:r>
    </w:p>
    <w:p>
      <w:r>
        <w:rPr>
          <w:sz w:val="22"/>
        </w:rPr>
        <w:t>- Utility responsibility breakdown showing which party pays water, electric, gas, trash, and other services</w:t>
      </w:r>
    </w:p>
    <w:p>
      <w:r>
        <w:rPr>
          <w:sz w:val="22"/>
        </w:rPr>
        <w:t>- Any pet deposits, late fees, or additional charges you plan to impose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Fill in the landlord and tenant full legal names at the top of the form, along with the complete property address being leased.</w:t>
      </w:r>
    </w:p>
    <w:p>
      <w:r>
        <w:rPr>
          <w:sz w:val="22"/>
        </w:rPr>
        <w:t>2. Enter the monthly rent amount in numbers and words, the day of the month rent is due, and the acceptable payment methods or location for payment.</w:t>
      </w:r>
    </w:p>
    <w:p>
      <w:r>
        <w:rPr>
          <w:sz w:val="22"/>
        </w:rPr>
        <w:t>3. Specify the security deposit amount and describe conditions for return, deductions for damages, and timeline for refund after move-out. Texas law requires landlords to return deposits within 30 days and provide an itemized list of deductions.</w:t>
      </w:r>
    </w:p>
    <w:p>
      <w:r>
        <w:rPr>
          <w:sz w:val="22"/>
        </w:rPr>
        <w:t>4. Insert the notice period both landlord and tenant must provide before terminating the lease. Be consistent for both parties unless you have specific business reasons to vary the terms.</w:t>
      </w:r>
    </w:p>
    <w:p>
      <w:r>
        <w:rPr>
          <w:sz w:val="22"/>
        </w:rPr>
        <w:t>5. Detail which utilities and services the tenant must pay versus those included in rent, and confirm the tenant will transfer accounts into their name by the move-in date.</w:t>
      </w:r>
    </w:p>
    <w:p>
      <w:r>
        <w:rPr>
          <w:sz w:val="22"/>
        </w:rPr>
        <w:t>6. List any restrictions such as no smoking, pet policies, guest limitations, or prohibited alterations to the property.</w:t>
      </w:r>
    </w:p>
    <w:p>
      <w:r>
        <w:rPr>
          <w:sz w:val="22"/>
        </w:rPr>
        <w:t>7. Include Texas-required disclosures such as lead-based paint warnings for pre-1978 properties and any homeowner association rules that bind the tenant.</w:t>
      </w:r>
    </w:p>
    <w:p>
      <w:r>
        <w:rPr>
          <w:sz w:val="22"/>
        </w:rPr>
        <w:t>8. Add late fee structure, including grace period if any, and returned check charges that comply with Texas statutory limits.</w:t>
      </w:r>
    </w:p>
    <w:p>
      <w:r>
        <w:rPr>
          <w:sz w:val="22"/>
        </w:rPr>
        <w:t>9. Review signature blocks and date lines, ensuring all adult tenants and the landlord or authorized agent sign and date the document.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reviewing your rental property portfolio want consistent monthly income documentation, so attach signed leases even for month-to-month tenants and maintain records of on-time payments through bank statements or a rent roll.</w:t>
      </w:r>
    </w:p>
    <w:p>
      <w:r>
        <w:rPr>
          <w:sz w:val="22"/>
        </w:rPr>
        <w:t>- Underwriters view month-to-month arrangements as higher risk than fixed-term leases because income can disappear with short notice, so be prepared to show tenant payment history for at least six months and possibly justify occupancy stability.</w:t>
      </w:r>
    </w:p>
    <w:p>
      <w:r>
        <w:rPr>
          <w:sz w:val="22"/>
        </w:rPr>
        <w:t>- Missing Texas-specific disclosures or noncompliant security deposit handling can trigger legal issues that lenders discover during due diligence, potentially delaying loan approval or requiring you to cure defects before closing.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