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TEXAS · STATE-AWARE GUIDE</w:t>
      </w:r>
    </w:p>
    <w:p>
      <w:pPr>
        <w:pStyle w:val="Title"/>
        <w:jc w:val="left"/>
      </w:pPr>
      <w:r>
        <w:t>How to complete a LLC Operating Agreement in Texas</w:t>
      </w:r>
    </w:p>
    <w:p>
      <w:r>
        <w:rPr>
          <w:color w:val="475569"/>
          <w:sz w:val="20"/>
        </w:rPr>
        <w:t>Member-managed LLC operating agreement template with state-specific clauses.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This form establishes the internal rules and ownership structure for your Texas LLC. You'll use it when forming a new LLC or updating an existing one to document how members share profits, make decisions, and handle day-to-day operations.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Full legal names and addresses of all LLC members</w:t>
      </w:r>
    </w:p>
    <w:p>
      <w:r>
        <w:rPr>
          <w:sz w:val="22"/>
        </w:rPr>
        <w:t>- Percentage ownership for each member</w:t>
      </w:r>
    </w:p>
    <w:p>
      <w:r>
        <w:rPr>
          <w:sz w:val="22"/>
        </w:rPr>
        <w:t>- Your LLC's exact legal name and Texas Secretary of State filing number</w:t>
      </w:r>
    </w:p>
    <w:p>
      <w:r>
        <w:rPr>
          <w:sz w:val="22"/>
        </w:rPr>
        <w:t>- Federal Employer Identification Number (EIN) from the IRS</w:t>
      </w:r>
    </w:p>
    <w:p>
      <w:r>
        <w:rPr>
          <w:sz w:val="22"/>
        </w:rPr>
        <w:t>- Initial capital contributions from each member (cash amounts and property descriptions if applicable)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Complete the header section with your LLC's legal name, principal business address in Texas, and the effective date of the agreement.</w:t>
      </w:r>
    </w:p>
    <w:p>
      <w:r>
        <w:rPr>
          <w:sz w:val="22"/>
        </w:rPr>
        <w:t>2. Fill in Article I with each member's full name, address, ownership percentage, and initial capital contribution. Verify percentages add to exactly 100 percent.</w:t>
      </w:r>
    </w:p>
    <w:p>
      <w:r>
        <w:rPr>
          <w:sz w:val="22"/>
        </w:rPr>
        <w:t>3. In Article II (Management), confirm member-managed structure and specify voting rights. Texas default is one-member-one-vote, but you can allocate votes by ownership percentage if members agree.</w:t>
      </w:r>
    </w:p>
    <w:p>
      <w:r>
        <w:rPr>
          <w:sz w:val="22"/>
        </w:rPr>
        <w:t>4. Complete Article III (Meetings) by setting annual meeting requirements and notice periods. Texas law doesn't mandate specific frequencies, so choose what works for your business.</w:t>
      </w:r>
    </w:p>
    <w:p>
      <w:r>
        <w:rPr>
          <w:sz w:val="22"/>
        </w:rPr>
        <w:t>5. Document profit and loss allocation in Article IV. Most LLCs distribute proportionally to ownership percentages, but you can specify alternative arrangements if members agree in writing.</w:t>
      </w:r>
    </w:p>
    <w:p>
      <w:r>
        <w:rPr>
          <w:sz w:val="22"/>
        </w:rPr>
        <w:t>6. Fill out Article V (Capital Accounts) showing each member's starting capital balance and rules for additional contributions or withdrawals.</w:t>
      </w:r>
    </w:p>
    <w:p>
      <w:r>
        <w:rPr>
          <w:sz w:val="22"/>
        </w:rPr>
        <w:t>7. Complete Article VI (Transfer Restrictions) detailing whether members can sell their interests and any right-of-first-refusal provisions. Banks want to see clear transfer restrictions.</w:t>
      </w:r>
    </w:p>
    <w:p>
      <w:r>
        <w:rPr>
          <w:sz w:val="22"/>
        </w:rPr>
        <w:t>8. In Article VII (Dissolution), specify events triggering dissolution and how you'll distribute assets. Texas requires you to pay creditors before distributing to members.</w:t>
      </w:r>
    </w:p>
    <w:p>
      <w:r>
        <w:rPr>
          <w:sz w:val="22"/>
        </w:rPr>
        <w:t>9. Add state-specific provisions in Article VIII, including Texas franchise tax reporting responsibilities and registered agent information.</w:t>
      </w:r>
    </w:p>
    <w:p>
      <w:r>
        <w:rPr>
          <w:sz w:val="22"/>
        </w:rPr>
        <w:t>10. Have all members sign and date in the signature section. Texas doesn't require notarization for operating agreements, but some lenders prefer it.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scrutinize capital contribution records closely. Document every member contribution with dates and amounts, including non-cash assets with independent appraisals. Undocumented contributions raise red flags about business capitalization.</w:t>
      </w:r>
    </w:p>
    <w:p>
      <w:r>
        <w:rPr>
          <w:sz w:val="22"/>
        </w:rPr>
        <w:t>- Lenders want clear decision-making authority. If you're borrowing, specify which members or percentage vote is required to incur debt, pledge assets, or sign loan documents.</w:t>
      </w:r>
    </w:p>
    <w:p>
      <w:r>
        <w:rPr>
          <w:sz w:val="22"/>
        </w:rPr>
        <w:t>- Keep your operating agreement current. Amendments for new members or ownership changes must be documented. Outdated agreements showing inactive members can delay or kill loan approvals.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