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CALIFORNIA · STATE-AWARE GUIDE</w:t>
      </w:r>
    </w:p>
    <w:p>
      <w:pPr>
        <w:pStyle w:val="Title"/>
        <w:jc w:val="left"/>
      </w:pPr>
      <w:r>
        <w:t>How to complete a LLC Operating Agreement in California</w:t>
      </w:r>
    </w:p>
    <w:p>
      <w:r>
        <w:rPr>
          <w:color w:val="475569"/>
          <w:sz w:val="20"/>
        </w:rPr>
        <w:t>Member-managed LLC operating agreement template with state-specific clauses.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This form establishes the internal governance rules and ownership structure for your California limited liability company. Use it when forming a new LLC or formalizing an existing one, especially before applying for business credit or loans where lenders require proof of member authority and profit-sharing arrangements.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Articles of Organization filing number and date from the California Secretary of State</w:t>
      </w:r>
    </w:p>
    <w:p>
      <w:r>
        <w:rPr>
          <w:sz w:val="22"/>
        </w:rPr>
        <w:t>- Full legal names, addresses, and ownership percentages for all LLC members</w:t>
      </w:r>
    </w:p>
    <w:p>
      <w:r>
        <w:rPr>
          <w:sz w:val="22"/>
        </w:rPr>
        <w:t>- Federal Employer Identification Number (EIN) from the IRS</w:t>
      </w:r>
    </w:p>
    <w:p>
      <w:r>
        <w:rPr>
          <w:sz w:val="22"/>
        </w:rPr>
        <w:t>- Decision on profit and loss distribution method (pro-rata by ownership or another formula)</w:t>
      </w:r>
    </w:p>
    <w:p>
      <w:r>
        <w:rPr>
          <w:sz w:val="22"/>
        </w:rPr>
        <w:t>- Names of members authorized to sign contracts and bind the LLC financially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Complete the header section with your LLC's exact legal name as filed with California, formation date, and principal business address.</w:t>
      </w:r>
    </w:p>
    <w:p>
      <w:r>
        <w:rPr>
          <w:sz w:val="22"/>
        </w:rPr>
        <w:t>2. Fill in Article 1 by listing each member's full name, mailing address, initial capital contribution amount, and ownership percentage. Verify percentages total exactly 100 percent.</w:t>
      </w:r>
    </w:p>
    <w:p>
      <w:r>
        <w:rPr>
          <w:sz w:val="22"/>
        </w:rPr>
        <w:t>3. In Article 2, specify management structure. For member-managed (most common for small businesses), list which members have signing authority for contracts, loans, and bank accounts.</w:t>
      </w:r>
    </w:p>
    <w:p>
      <w:r>
        <w:rPr>
          <w:sz w:val="22"/>
        </w:rPr>
        <w:t>4. Complete Article 3 covering capital contributions. Document what each member contributed (cash, property, services) and the agreed dollar value. California requires accurate valuation for tax purposes.</w:t>
      </w:r>
    </w:p>
    <w:p>
      <w:r>
        <w:rPr>
          <w:sz w:val="22"/>
        </w:rPr>
        <w:t>5. Address Article 4 on distributions and allocations. State whether profits and losses follow ownership percentages or use a different formula. Include timing of distributions if predetermined.</w:t>
      </w:r>
    </w:p>
    <w:p>
      <w:r>
        <w:rPr>
          <w:sz w:val="22"/>
        </w:rPr>
        <w:t>6. Fill out Article 5 regarding meetings and voting. Specify percentage needed for major decisions (loan applications typically require notation here). California default is majority, but you can require supermajority.</w:t>
      </w:r>
    </w:p>
    <w:p>
      <w:r>
        <w:rPr>
          <w:sz w:val="22"/>
        </w:rPr>
        <w:t>7. Complete transfer restrictions in Article 6. Most lenders prefer right-of-first-refusal clauses that prevent members from selling interests without LLC approval.</w:t>
      </w:r>
    </w:p>
    <w:p>
      <w:r>
        <w:rPr>
          <w:sz w:val="22"/>
        </w:rPr>
        <w:t>8. Review California-specific provisions in Article 7, including requirements for annual statements to members and California Franchise Tax Board filings.</w:t>
      </w:r>
    </w:p>
    <w:p>
      <w:r>
        <w:rPr>
          <w:sz w:val="22"/>
        </w:rPr>
        <w:t>9. Have all members sign and date the signature page. California does not require notarization for operating agreements, but some lenders prefer it.</w:t>
      </w:r>
    </w:p>
    <w:p>
      <w:r>
        <w:rPr>
          <w:sz w:val="22"/>
        </w:rPr>
        <w:t>10. Attach schedules listing initial capital contributions with supporting documentation (bank statements, property appraisals).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scrutinize the signing authority section closely. Ensure the person applying for credit is explicitly authorized to incur debt on behalf of the LLC. Ambiguity here delays loan approval.</w:t>
      </w:r>
    </w:p>
    <w:p>
      <w:r>
        <w:rPr>
          <w:sz w:val="22"/>
        </w:rPr>
        <w:t>- Lenders flag operating agreements without clear capital contribution records. Document each member's investment with bank statements or receipts, particularly for California Franchise Tax purposes.</w:t>
      </w:r>
    </w:p>
    <w:p>
      <w:r>
        <w:rPr>
          <w:sz w:val="22"/>
        </w:rPr>
        <w:t>- Avoid generic templates that omit California-required provisions about member access to financial records. Complete, state-compliant agreements signal operational maturity and reduce underwriting friction.</w:t>
      </w:r>
    </w:p>
    <w:p/>
    <w:p>
      <w:pPr>
        <w:jc w:val="center"/>
      </w:pPr>
      <w:r>
        <w:rPr>
          <w:color w:val="94A3B8"/>
          <w:sz w:val="16"/>
        </w:rPr>
        <w:t>Generated June 21,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