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OHIO · STATE-AWARE GUIDE</w:t>
      </w:r>
    </w:p>
    <w:p>
      <w:pPr>
        <w:pStyle w:val="Title"/>
        <w:jc w:val="left"/>
      </w:pPr>
      <w:r>
        <w:t>How to complete a Balance Sheet in Ohio</w:t>
      </w:r>
    </w:p>
    <w:p>
      <w:r>
        <w:rPr>
          <w:color w:val="475569"/>
          <w:sz w:val="20"/>
        </w:rPr>
        <w:t>Itemized balance sheet with current/long-term assets, liabilities and owner's equity.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This form presents a snapshot of your business's financial health on a specific date by listing everything you own and owe. Banks require it for loan applications, credit reviews, and annual covenants to assess your ability to repay debt.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Most recent bank statements for all business checking, savings, and money-market accounts</w:t>
      </w:r>
    </w:p>
    <w:p>
      <w:r>
        <w:rPr>
          <w:sz w:val="22"/>
        </w:rPr>
        <w:t>- Current values for accounts receivable, inventory, equipment, vehicles, and real estate</w:t>
      </w:r>
    </w:p>
    <w:p>
      <w:r>
        <w:rPr>
          <w:sz w:val="22"/>
        </w:rPr>
        <w:t>- Outstanding loan balances, credit card statements, accounts payable aging reports, and any other debts</w:t>
      </w:r>
    </w:p>
    <w:p>
      <w:r>
        <w:rPr>
          <w:sz w:val="22"/>
        </w:rPr>
        <w:t>- Copies of asset purchase documents or recent appraisals for major property or equipment</w:t>
      </w:r>
    </w:p>
    <w:p>
      <w:r>
        <w:rPr>
          <w:sz w:val="22"/>
        </w:rPr>
        <w:t>- Your prior-year balance sheet if you have one, to ensure consistency and catch errors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 date at the top, typically the last day of a month or your fiscal year-end. This date determines which transactions count.</w:t>
      </w:r>
    </w:p>
    <w:p>
      <w:r>
        <w:rPr>
          <w:sz w:val="22"/>
        </w:rPr>
        <w:t>2. List current assets first: cash in bank accounts, accounts receivable expected within 90 days, inventory at cost or lower-of-cost-or-market, and prepaid expenses like insurance. Total this section.</w:t>
      </w:r>
    </w:p>
    <w:p>
      <w:r>
        <w:rPr>
          <w:sz w:val="22"/>
        </w:rPr>
        <w:t>3. Record long-term or fixed assets: equipment, vehicles, furniture, buildings, and land. Show original cost, then subtract accumulated depreciation to get net book value. Total fixed assets.</w:t>
      </w:r>
    </w:p>
    <w:p>
      <w:r>
        <w:rPr>
          <w:sz w:val="22"/>
        </w:rPr>
        <w:t>4. Add current assets and fixed assets together for total assets. This line must match total liabilities plus equity at the bottom.</w:t>
      </w:r>
    </w:p>
    <w:p>
      <w:r>
        <w:rPr>
          <w:sz w:val="22"/>
        </w:rPr>
        <w:t>5. Under current liabilities, enter debts due within one year: accounts payable, credit cards, lines of credit, current portions of long-term loans, accrued payroll, and Ohio state tax obligations.</w:t>
      </w:r>
    </w:p>
    <w:p>
      <w:r>
        <w:rPr>
          <w:sz w:val="22"/>
        </w:rPr>
        <w:t>6. List long-term liabilities next: loans, notes, or mortgages with repayment periods beyond twelve months. Show only the principal balance, not future interest.</w:t>
      </w:r>
    </w:p>
    <w:p>
      <w:r>
        <w:rPr>
          <w:sz w:val="22"/>
        </w:rPr>
        <w:t>7. Total all liabilities by adding current and long-term sections together.</w:t>
      </w:r>
    </w:p>
    <w:p>
      <w:r>
        <w:rPr>
          <w:sz w:val="22"/>
        </w:rPr>
        <w:t>8. Calculate owner's equity: retained earnings from prior periods, current-year profit or loss, and any capital contributions or withdrawals. In Ohio, if you are an LLC, label this as member equity rather than shareholder equity.</w:t>
      </w:r>
    </w:p>
    <w:p>
      <w:r>
        <w:rPr>
          <w:sz w:val="22"/>
        </w:rPr>
        <w:t>9. Add total liabilities and total equity. Confirm this sum equals total assets. If not, review each line for errors or omissions.</w:t>
      </w:r>
    </w:p>
    <w:p>
      <w:r>
        <w:rPr>
          <w:sz w:val="22"/>
        </w:rPr>
        <w:t>10. Sign and date the completed form. Many lenders require a notarized statement that the information is accurate.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Underwriters calculate your current ratio by dividing current assets by current liabilities. Aim for 1.5 or higher to show you can cover short-term obligations comfortably.</w:t>
      </w:r>
    </w:p>
    <w:p>
      <w:r>
        <w:rPr>
          <w:sz w:val="22"/>
        </w:rPr>
        <w:t>- Double-check that asset values are realistic and supported by documentation. Inflated inventory or equipment figures raise red flags and can disqualify your application.</w:t>
      </w:r>
    </w:p>
    <w:p>
      <w:r>
        <w:rPr>
          <w:sz w:val="22"/>
        </w:rPr>
        <w:t>- Reconcile this balance sheet to your tax return and profit-and-loss statement. Significant discrepancies signal poor record-keeping or potential fraud.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