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OHIO · STATE-AWARE GUIDE</w:t>
      </w:r>
    </w:p>
    <w:p>
      <w:pPr>
        <w:pStyle w:val="Title"/>
        <w:jc w:val="left"/>
      </w:pPr>
      <w:r>
        <w:t>How to complete a Accounts Receivable Aging Report in Ohio</w:t>
      </w:r>
    </w:p>
    <w:p>
      <w:r>
        <w:rPr>
          <w:color w:val="475569"/>
          <w:sz w:val="20"/>
        </w:rPr>
        <w:t>Color-coded aging buckets (Current, 1-30, 31-60, 61-90, 91-120) with per-customer totals and grand totals.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Banks require the Accounts Receivable Aging Report to assess how quickly your customers pay and whether your outstanding invoices are collectible. Lenders use this report to determine working-capital health and verify that receivables listed as assets are actually recoverable.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Your current customer list with outstanding invoice balances as of the report date</w:t>
      </w:r>
    </w:p>
    <w:p>
      <w:r>
        <w:rPr>
          <w:sz w:val="22"/>
        </w:rPr>
        <w:t>- Individual invoice dates and amounts for each customer from your accounting system</w:t>
      </w:r>
    </w:p>
    <w:p>
      <w:r>
        <w:rPr>
          <w:sz w:val="22"/>
        </w:rPr>
        <w:t>- Documentation of any disputed invoices, partial payments, or payment plans already in place</w:t>
      </w:r>
    </w:p>
    <w:p>
      <w:r>
        <w:rPr>
          <w:sz w:val="22"/>
        </w:rPr>
        <w:t>- Your written credit terms and policies so you can compare actual payment patterns against stated terms</w:t>
      </w:r>
    </w:p>
    <w:p>
      <w:r>
        <w:rPr>
          <w:sz w:val="22"/>
        </w:rPr>
        <w:t>- Access to your accounting software or spreadsheet where you track invoices by customer and date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Set the report date at the top, which becomes your measurement point for calculating how old each invoice is.</w:t>
      </w:r>
    </w:p>
    <w:p>
      <w:r>
        <w:rPr>
          <w:sz w:val="22"/>
        </w:rPr>
        <w:t>2. List each customer with outstanding balances in the left column, typically in alphabetical order or ranked by total amount owed.</w:t>
      </w:r>
    </w:p>
    <w:p>
      <w:r>
        <w:rPr>
          <w:sz w:val="22"/>
        </w:rPr>
        <w:t>3. For each customer, sort their unpaid invoices by age and place the dollar amounts into the correct aging bucket: Current means invoices not yet due or due within your standard terms, 1-30 days means invoices 1 to 30 days past due, and so forth through 91-120 days and sometimes a 120-plus column.</w:t>
      </w:r>
    </w:p>
    <w:p>
      <w:r>
        <w:rPr>
          <w:sz w:val="22"/>
        </w:rPr>
        <w:t>4. Calculate the row total for each customer by adding amounts across all aging buckets; this shows what that customer owes you in total.</w:t>
      </w:r>
    </w:p>
    <w:p>
      <w:r>
        <w:rPr>
          <w:sz w:val="22"/>
        </w:rPr>
        <w:t>5. Apply color coding as your template specifies, usually green or white for Current, yellow for 1-30 days, orange for 31-60 days, and red for anything over 60 days past due.</w:t>
      </w:r>
    </w:p>
    <w:p>
      <w:r>
        <w:rPr>
          <w:sz w:val="22"/>
        </w:rPr>
        <w:t>6. Sum each aging column vertically to show your grand totals by bucket at the bottom of the report.</w:t>
      </w:r>
    </w:p>
    <w:p>
      <w:r>
        <w:rPr>
          <w:sz w:val="22"/>
        </w:rPr>
        <w:t>7. Calculate the final grand total by adding all bucket totals together; this number should match your total accounts receivable balance in your general ledger.</w:t>
      </w:r>
    </w:p>
    <w:p>
      <w:r>
        <w:rPr>
          <w:sz w:val="22"/>
        </w:rPr>
        <w:t>8. Add a percentage row beneath the totals showing what portion of your receivables falls into each bucket, which helps lenders quickly spot concentration in older categories.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Ohio banks typically want to see 70 percent or more of your receivables in the Current and 1-30 day buckets; anything over 60 days past due raises red flags about collection problems and may be discounted or excluded from borrowing-base calculations.</w:t>
      </w:r>
    </w:p>
    <w:p>
      <w:r>
        <w:rPr>
          <w:sz w:val="22"/>
        </w:rPr>
        <w:t>- Double-check that your report date matches your loan-application date and that no customer represents more than 20 percent of total receivables, because lenders worry about customer-concentration risk.</w:t>
      </w:r>
    </w:p>
    <w:p>
      <w:r>
        <w:rPr>
          <w:sz w:val="22"/>
        </w:rPr>
        <w:t>- Attach brief notes explaining any large amounts in the 61-90 or 91-120 columns, such as payment plans or disputes, rather than leaving the lender to assume those invoices are uncollectible.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