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NEW YORK · STATE-AWARE GUIDE</w:t>
      </w:r>
    </w:p>
    <w:p>
      <w:pPr>
        <w:pStyle w:val="Title"/>
        <w:jc w:val="left"/>
      </w:pPr>
      <w:r>
        <w:t>How to complete a Accounts Receivable Aging Report in New York</w:t>
      </w:r>
    </w:p>
    <w:p>
      <w:r>
        <w:rPr>
          <w:color w:val="475569"/>
          <w:sz w:val="20"/>
        </w:rPr>
        <w:t>Color-coded aging buckets (Current, 1-30, 31-60, 61-90, 91-120) with per-customer totals and grand totals.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Lenders use the Accounts Receivable Aging Report to assess the quality and collectibility of your outstanding customer invoices when underwriting working-capital loans, lines of credit, or receivables-based financing. It shows who owes you money and how overdue those balances are.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Current invoice listing from your accounting software showing all open customer balances and original invoice dates</w:t>
      </w:r>
    </w:p>
    <w:p>
      <w:r>
        <w:rPr>
          <w:sz w:val="22"/>
        </w:rPr>
        <w:t>- Customer names and account numbers as they appear in your general ledger</w:t>
      </w:r>
    </w:p>
    <w:p>
      <w:r>
        <w:rPr>
          <w:sz w:val="22"/>
        </w:rPr>
        <w:t>- Your standard payment terms for each customer (Net 30, Net 60, etc.) to accurately categorize aging buckets</w:t>
      </w:r>
    </w:p>
    <w:p>
      <w:r>
        <w:rPr>
          <w:sz w:val="22"/>
        </w:rPr>
        <w:t>- Any current payment plans, disputes, or known bad-debt accounts that affect collectibility</w:t>
      </w:r>
    </w:p>
    <w:p>
      <w:r>
        <w:rPr>
          <w:sz w:val="22"/>
        </w:rPr>
        <w:t>- Prior month's aging report if available for trend comparison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 date at the top. This snapshot date determines how aging buckets are calculated, so use the last day of your most recent closed accounting period.</w:t>
      </w:r>
    </w:p>
    <w:p>
      <w:r>
        <w:rPr>
          <w:sz w:val="22"/>
        </w:rPr>
        <w:t>2. List each customer with an outstanding balance in the left column, using the exact legal or trade name that matches your invoices and contracts.</w:t>
      </w:r>
    </w:p>
    <w:p>
      <w:r>
        <w:rPr>
          <w:sz w:val="22"/>
        </w:rPr>
        <w:t>3. For each customer, review every unpaid invoice and place the amount in the correct aging bucket based on days outstanding from the report date: Current (0-30 days), 1-30 (past the first 30 days), 31-60, 61-90, or 91-120 days past due.</w:t>
      </w:r>
    </w:p>
    <w:p>
      <w:r>
        <w:rPr>
          <w:sz w:val="22"/>
        </w:rPr>
        <w:t>4. Calculate the row total for each customer by adding all amounts across the five aging buckets. Most accounting systems auto-calculate this; verify the math manually if preparing by hand.</w:t>
      </w:r>
    </w:p>
    <w:p>
      <w:r>
        <w:rPr>
          <w:sz w:val="22"/>
        </w:rPr>
        <w:t>5. After entering all customers, calculate column totals for each aging bucket by summing all customer balances in that bucket.</w:t>
      </w:r>
    </w:p>
    <w:p>
      <w:r>
        <w:rPr>
          <w:sz w:val="22"/>
        </w:rPr>
        <w:t>6. Calculate the grand total of all receivables by summing the five column totals. Cross-check that this matches your accounts receivable balance in your general ledger.</w:t>
      </w:r>
    </w:p>
    <w:p>
      <w:r>
        <w:rPr>
          <w:sz w:val="22"/>
        </w:rPr>
        <w:t>7. Apply your color-coding scheme consistently: typically green for Current, yellow for 1-30 and 31-60, orange for 61-90, and red for 91-120 or older.</w:t>
      </w:r>
    </w:p>
    <w:p>
      <w:r>
        <w:rPr>
          <w:sz w:val="22"/>
        </w:rPr>
        <w:t>8. Add a notes column or footer section to flag any disputed invoices, customers on payment plans, or accounts you consider uncollectible.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heavily discount receivables older than 90 days when calculating your borrowing base, and New York lenders typically exclude any invoice over 120 days entirely. A report showing more than 25 percent of receivables past 60 days signals collection problems.</w:t>
      </w:r>
    </w:p>
    <w:p>
      <w:r>
        <w:rPr>
          <w:sz w:val="22"/>
        </w:rPr>
        <w:t>- Match your aging report total to your balance sheet accounts receivable line item to the penny. Discrepancies raise red flags about your bookkeeping accuracy and internal controls.</w:t>
      </w:r>
    </w:p>
    <w:p>
      <w:r>
        <w:rPr>
          <w:sz w:val="22"/>
        </w:rPr>
        <w:t>- Concentration risk matters: if one or two customers represent over 40 percent of your receivables, lenders view your cash flow as vulnerable and may require personal guarantees or lower advance rates.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