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GEORGIA · STATE-AWARE GUIDE</w:t>
      </w:r>
    </w:p>
    <w:p>
      <w:pPr>
        <w:pStyle w:val="Title"/>
        <w:jc w:val="left"/>
      </w:pPr>
      <w:r>
        <w:t>How to complete a Accounts Receivable Aging Report in Georgia</w:t>
      </w:r>
    </w:p>
    <w:p>
      <w:r>
        <w:rPr>
          <w:color w:val="475569"/>
          <w:sz w:val="20"/>
        </w:rPr>
        <w:t>Color-coded aging buckets (Current, 1-30, 31-60, 61-90, 91-120) with per-customer totals and grand totals.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Banks use the Accounts Receivable Aging Report to assess how quickly your customers pay and whether your outstanding invoices are actually collectible. You will submit this report when applying for a working-capital line of credit or when the lender requests updated financial statements during annual renewals.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Pull a complete list of all unpaid customer invoices from your accounting software with invoice dates and amounts due</w:t>
      </w:r>
    </w:p>
    <w:p>
      <w:r>
        <w:rPr>
          <w:sz w:val="22"/>
        </w:rPr>
        <w:t>- Verify customer names match exactly how they appear on original invoices and contracts</w:t>
      </w:r>
    </w:p>
    <w:p>
      <w:r>
        <w:rPr>
          <w:sz w:val="22"/>
        </w:rPr>
        <w:t>- Identify today's date to calculate how many days each invoice has been outstanding</w:t>
      </w:r>
    </w:p>
    <w:p>
      <w:r>
        <w:rPr>
          <w:sz w:val="22"/>
        </w:rPr>
        <w:t>- Have your general ledger AR balance ready to cross-check against the report total</w:t>
      </w:r>
    </w:p>
    <w:p>
      <w:r>
        <w:rPr>
          <w:sz w:val="22"/>
        </w:rPr>
        <w:t>- Flag any disputed invoices or customers currently in collections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the report date at the top, which establishes the snapshot moment for aging calculations.</w:t>
      </w:r>
    </w:p>
    <w:p>
      <w:r>
        <w:rPr>
          <w:sz w:val="22"/>
        </w:rPr>
        <w:t>2. List each customer alphabetically in the first column with their full legal business name as it appears on invoices.</w:t>
      </w:r>
    </w:p>
    <w:p>
      <w:r>
        <w:rPr>
          <w:sz w:val="22"/>
        </w:rPr>
        <w:t>3. For each customer, assign every unpaid invoice to the correct aging bucket based on days outstanding: Current (0-30 days), 1-30 days past due is actually the 31-60 bucket, then 31-60 becomes 61-90, and so on through 91-120 and over 120 days.</w:t>
      </w:r>
    </w:p>
    <w:p>
      <w:r>
        <w:rPr>
          <w:sz w:val="22"/>
        </w:rPr>
        <w:t>4. Enter the dollar amount for each invoice in its corresponding aging column, working across the row for that customer.</w:t>
      </w:r>
    </w:p>
    <w:p>
      <w:r>
        <w:rPr>
          <w:sz w:val="22"/>
        </w:rPr>
        <w:t>5. Total each customer row horizontally so the far-right column shows the total amount that customer owes you.</w:t>
      </w:r>
    </w:p>
    <w:p>
      <w:r>
        <w:rPr>
          <w:sz w:val="22"/>
        </w:rPr>
        <w:t>6. After listing all customers, calculate column totals vertically for each aging bucket to show how much of your entire receivables portfolio falls into each time frame.</w:t>
      </w:r>
    </w:p>
    <w:p>
      <w:r>
        <w:rPr>
          <w:sz w:val="22"/>
        </w:rPr>
        <w:t>7. Sum all column totals to produce the grand total of accounts receivable, which must match your general ledger AR account balance.</w:t>
      </w:r>
    </w:p>
    <w:p>
      <w:r>
        <w:rPr>
          <w:sz w:val="22"/>
        </w:rPr>
        <w:t>8. Apply color coding if required: green for Current, yellow for 31-60, orange for 61-90, and red for anything over 90 days to provide visual risk assessment.</w:t>
      </w:r>
    </w:p>
    <w:p>
      <w:r>
        <w:rPr>
          <w:sz w:val="22"/>
        </w:rPr>
        <w:t>9. Sign and date the bottom of the form, and have your bookkeeper or controller countersign if your bank requires dual verification.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get nervous when more than 20 percent of your receivables sit in the over-60-days buckets because those invoices may never convert to cash, so clean up old balances or write them off before submission.</w:t>
      </w:r>
    </w:p>
    <w:p>
      <w:r>
        <w:rPr>
          <w:sz w:val="22"/>
        </w:rPr>
        <w:t>- Cross-reference customer names on this report with your customer concentration analysis because Georgia lenders often apply stricter advance rates if one customer represents over 25 percent of your AR.</w:t>
      </w:r>
    </w:p>
    <w:p>
      <w:r>
        <w:rPr>
          <w:sz w:val="22"/>
        </w:rPr>
        <w:t>- Double-check that your grand total reconciles to your balance sheet AR line item for the same date or the underwriter will kick back your entire loan package for corrections.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