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FLORIDA · STATE-AWARE GUIDE</w:t>
      </w:r>
    </w:p>
    <w:p>
      <w:pPr>
        <w:pStyle w:val="Title"/>
        <w:jc w:val="left"/>
      </w:pPr>
      <w:r>
        <w:t>How to complete a Accounts Receivable Aging Report in Florida</w:t>
      </w:r>
    </w:p>
    <w:p>
      <w:r>
        <w:rPr>
          <w:color w:val="475569"/>
          <w:sz w:val="20"/>
        </w:rPr>
        <w:t>Color-coded aging buckets (Current, 1-30, 31-60, 61-90, 91-120) with per-customer totals and grand totals.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Accounts Receivable Aging Reports show lenders exactly how much customers owe you and how long those invoices have been outstanding, which helps banks assess your cash-flow health and collection efficiency. Business owners use this when applying for working-capital loans, lines of credit, or asset-based financing that uses receivables as collateral.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Pull your current accounts receivable ledger or aging summary from your accounting software (QuickBooks, Xero, FreshBooks, or similar)</w:t>
      </w:r>
    </w:p>
    <w:p>
      <w:r>
        <w:rPr>
          <w:sz w:val="22"/>
        </w:rPr>
        <w:t>- Gather copies of all unpaid customer invoices with invoice dates and amounts owed</w:t>
      </w:r>
    </w:p>
    <w:p>
      <w:r>
        <w:rPr>
          <w:sz w:val="22"/>
        </w:rPr>
        <w:t>- List each customer's full legal business name and outstanding balance</w:t>
      </w:r>
    </w:p>
    <w:p>
      <w:r>
        <w:rPr>
          <w:sz w:val="22"/>
        </w:rPr>
        <w:t>- Have your last bank reconciliation handy to verify total receivables match your general ledger</w:t>
      </w:r>
    </w:p>
    <w:p>
      <w:r>
        <w:rPr>
          <w:sz w:val="22"/>
        </w:rPr>
        <w:t>- Identify any disputed invoices, partial payments, or accounts you've stopped pursuing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report date at the top, which determines how aging buckets are calculated (typically the last day of the month or the date you're submitting your loan package).</w:t>
      </w:r>
    </w:p>
    <w:p>
      <w:r>
        <w:rPr>
          <w:sz w:val="22"/>
        </w:rPr>
        <w:t>2. List each customer with an outstanding balance in the first column, using their legal business name exactly as it appears on invoices.</w:t>
      </w:r>
    </w:p>
    <w:p>
      <w:r>
        <w:rPr>
          <w:sz w:val="22"/>
        </w:rPr>
        <w:t>3. For each customer, break down their total balance into the five aging buckets: Current (0-30 days old), 1-30 days past due, 31-60 days past due, 61-90 days past due, and 91-120+ days past due.</w:t>
      </w:r>
    </w:p>
    <w:p>
      <w:r>
        <w:rPr>
          <w:sz w:val="22"/>
        </w:rPr>
        <w:t>4. Calculate the total amount owed by each individual customer across all aging buckets and enter it in the customer total column.</w:t>
      </w:r>
    </w:p>
    <w:p>
      <w:r>
        <w:rPr>
          <w:sz w:val="22"/>
        </w:rPr>
        <w:t>5. Sum each aging column vertically to show the grand total of receivables in each time bucket (for example, total dollars that are 61-90 days past due across all customers).</w:t>
      </w:r>
    </w:p>
    <w:p>
      <w:r>
        <w:rPr>
          <w:sz w:val="22"/>
        </w:rPr>
        <w:t>6. Calculate the overall grand total of all receivables by adding all aging-bucket totals together; this number must match your accounts receivable balance on your general ledger.</w:t>
      </w:r>
    </w:p>
    <w:p>
      <w:r>
        <w:rPr>
          <w:sz w:val="22"/>
        </w:rPr>
        <w:t>7. Apply the color-coding scheme consistently: typically green for Current, yellow for 1-30 and 31-60, orange for 61-90, and red for 91-120+, though confirm your bank's preference.</w:t>
      </w:r>
    </w:p>
    <w:p>
      <w:r>
        <w:rPr>
          <w:sz w:val="22"/>
        </w:rPr>
        <w:t>8. Note any special circumstances in a footnote section, such as disputed amounts, payment plans already in place, or invoices tied to long-term contracts with extended payment terms.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want to see 70 percent or more of your receivables in the Current and 1-30 day buckets; high concentrations in 61+ day categories signal collection problems and reduce how much they'll lend against those receivables.</w:t>
      </w:r>
    </w:p>
    <w:p>
      <w:r>
        <w:rPr>
          <w:sz w:val="22"/>
        </w:rPr>
        <w:t>- Flag any single customer representing more than 20 percent of total receivables, as this concentration risk may lower your borrowing base or require additional guarantees.</w:t>
      </w:r>
    </w:p>
    <w:p>
      <w:r>
        <w:rPr>
          <w:sz w:val="22"/>
        </w:rPr>
        <w:t>- Never include receivables from related parties, owners, or family members; Florida lenders will exclude these during underwriting, and failing to disclose them damages your credibility.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