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OHIO · STATE-AWARE GUIDE</w:t>
      </w:r>
    </w:p>
    <w:p>
      <w:pPr>
        <w:pStyle w:val="Title"/>
        <w:jc w:val="left"/>
      </w:pPr>
      <w:r>
        <w:t>How to complete a Accounts Payable Ledger in Ohio</w:t>
      </w:r>
    </w:p>
    <w:p>
      <w:r>
        <w:rPr>
          <w:color w:val="475569"/>
          <w:sz w:val="20"/>
        </w:rPr>
        <w:t>Vendor payables with invoice/due dates, amounts paid, and auto-computed outstanding balance.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The Accounts Payable Ledger tracks all money your business owes to vendors and suppliers. Banks review this form during loan underwriting to assess your short-term liabilities and verify that your cash flow can cover outstanding debts alongside the new loan payments you're requesting.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Unpaid vendor invoices with invoice numbers, dates issued, and due dates</w:t>
      </w:r>
    </w:p>
    <w:p>
      <w:r>
        <w:rPr>
          <w:sz w:val="22"/>
        </w:rPr>
        <w:t>- Records of partial payments made against each invoice, including payment dates and amounts</w:t>
      </w:r>
    </w:p>
    <w:p>
      <w:r>
        <w:rPr>
          <w:sz w:val="22"/>
        </w:rPr>
        <w:t>- Current vendor contact information and account terms (net 30, net 60, etc.)</w:t>
      </w:r>
    </w:p>
    <w:p>
      <w:r>
        <w:rPr>
          <w:sz w:val="22"/>
        </w:rPr>
        <w:t>- Your general ledger or accounting software export showing accounts payable activity for the reporting period</w:t>
      </w:r>
    </w:p>
    <w:p>
      <w:r>
        <w:rPr>
          <w:sz w:val="22"/>
        </w:rPr>
        <w:t>- Any vendor statements or aging reports that reconcile with your internal records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reporting period end date at the top of the ledger so the lender knows the snapshot date for all balances shown.</w:t>
      </w:r>
    </w:p>
    <w:p>
      <w:r>
        <w:rPr>
          <w:sz w:val="22"/>
        </w:rPr>
        <w:t>2. List each vendor alphabetically or by vendor ID number in the first column, including full legal business names as they appear on invoices.</w:t>
      </w:r>
    </w:p>
    <w:p>
      <w:r>
        <w:rPr>
          <w:sz w:val="22"/>
        </w:rPr>
        <w:t>3. For each vendor, record every outstanding invoice separately with its unique invoice number, invoice date, and original invoice amount in the designated columns.</w:t>
      </w:r>
    </w:p>
    <w:p>
      <w:r>
        <w:rPr>
          <w:sz w:val="22"/>
        </w:rPr>
        <w:t>4. Enter the payment due date for each invoice based on the vendor's terms, noting any early-payment discounts you may have forfeited.</w:t>
      </w:r>
    </w:p>
    <w:p>
      <w:r>
        <w:rPr>
          <w:sz w:val="22"/>
        </w:rPr>
        <w:t>5. In the "Amount Paid" column, record any partial or installment payments already made against each specific invoice, along with the date of payment.</w:t>
      </w:r>
    </w:p>
    <w:p>
      <w:r>
        <w:rPr>
          <w:sz w:val="22"/>
        </w:rPr>
        <w:t>6. Allow the form's formula to auto-calculate the outstanding balance by subtracting amounts paid from the original invoice total. Double-check these calculations manually for accuracy.</w:t>
      </w:r>
    </w:p>
    <w:p>
      <w:r>
        <w:rPr>
          <w:sz w:val="22"/>
        </w:rPr>
        <w:t>7. Subtotal the outstanding balances by vendor so the lender can see your exposure to each supplier relationship.</w:t>
      </w:r>
    </w:p>
    <w:p>
      <w:r>
        <w:rPr>
          <w:sz w:val="22"/>
        </w:rPr>
        <w:t>8. Sum all vendor subtotals to produce a grand total of accounts payable, which must match the accounts payable line on your balance sheet.</w:t>
      </w:r>
    </w:p>
    <w:p>
      <w:r>
        <w:rPr>
          <w:sz w:val="22"/>
        </w:rPr>
        <w:t>9. Note any disputed invoices, pending credits, or unusual payment arrangements in a remarks column or attached explanation sheet.</w:t>
      </w:r>
    </w:p>
    <w:p>
      <w:r>
        <w:rPr>
          <w:sz w:val="22"/>
        </w:rPr>
        <w:t>10. Under Ohio commercial law, include any invoices subject to mechanics liens or secured creditor claims separately, as these affect lender collateral priority.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compare your AP ledger total against your balance sheet and look for material discrepancies that suggest poor bookkeeping or hidden liabilities. Reconcile these documents before submission.</w:t>
      </w:r>
    </w:p>
    <w:p>
      <w:r>
        <w:rPr>
          <w:sz w:val="22"/>
        </w:rPr>
        <w:t>- Overdue invoices beyond 60 days raise red flags about cash flow problems. Be prepared to explain why payments are late and provide a catch-up plan if your aging is poor.</w:t>
      </w:r>
    </w:p>
    <w:p>
      <w:r>
        <w:rPr>
          <w:sz w:val="22"/>
        </w:rPr>
        <w:t>- Lenders calculate your current ratio and quick ratio using AP totals, so inflated or understated payables directly affect your creditworthiness and loan-to-value calculations.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